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240" w:after="60"/>
        <w:jc w:val="left"/>
        <w:rPr>
          <w:bdr w:val="single" w:sz="16" w:space="1" w:color="000000"/>
        </w:rPr>
      </w:pPr>
      <w:bookmarkStart w:id="0" w:name="tv509966_6k.htm"/>
      <w:bookmarkStart w:id="1" w:name="kstv509966_6k"/>
      <w:bookmarkEnd w:id="0"/>
      <w:bookmarkEnd w:id="1"/>
      <w:r>
        <w:rPr>
          <w:bdr w:val="single" w:sz="16" w:space="1" w:color="000000"/>
        </w:rPr>
        <w:t> </w:t>
      </w:r>
    </w:p>
    <w:p>
      <w:pPr>
        <w:pStyle w:val="TextBody"/>
        <w:rPr/>
      </w:pPr>
      <w:r>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December, 2018</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Commission File Number 1-11414</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FOREIGN TRADE BANK OF LATIN AMERICA, INC.</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Form 20-F </w:t>
      </w:r>
      <w:r>
        <w:rPr>
          <w:rFonts w:ascii="Times New Roman;Times;Serif" w:hAnsi="Times New Roman;Times;Serif"/>
          <w:b w:val="false"/>
          <w:i w:val="false"/>
          <w:caps w:val="false"/>
          <w:smallCaps w:val="false"/>
          <w:strike w:val="false"/>
          <w:dstrike w:val="false"/>
          <w:sz w:val="20"/>
          <w:u w:val="none"/>
          <w:effect w:val="none"/>
        </w:rPr>
        <w:t>☒</w:t>
      </w:r>
      <w:r>
        <w:rPr>
          <w:rFonts w:ascii="Times New Roman;Times;Serif" w:hAnsi="Times New Roman;Times;Serif"/>
          <w:b w:val="false"/>
          <w:i w:val="false"/>
          <w:caps w:val="false"/>
          <w:smallCaps w:val="false"/>
          <w:sz w:val="20"/>
        </w:rPr>
        <w:t xml:space="preserve">     Form 40-F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101(b)(1):</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101(b)(7):</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center"/>
        <w:rPr>
          <w:caps w:val="false"/>
          <w:smallCaps w:val="false"/>
        </w:rPr>
      </w:pPr>
      <w:r>
        <w:rPr>
          <w:caps w:val="false"/>
          <w:smallCaps w:val="false"/>
        </w:rPr>
        <w:t> </w:t>
      </w:r>
    </w:p>
    <w:p>
      <w:pPr>
        <w:pStyle w:val="TextBody"/>
        <w:spacing w:before="60" w:after="240"/>
        <w:jc w:val="left"/>
        <w:rPr>
          <w:bdr w:val="single" w:sz="8" w:space="1" w:color="000000"/>
        </w:rPr>
      </w:pPr>
      <w:r>
        <w:rPr>
          <w:bdr w:val="single" w:sz="8" w:space="1" w:color="000000"/>
        </w:rPr>
        <w:t> </w:t>
      </w:r>
    </w:p>
    <w:p>
      <w:pPr>
        <w:pStyle w:val="TextBody"/>
        <w:spacing w:before="0" w:after="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thereunto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Date: December 27, 2018</w:t>
      </w:r>
    </w:p>
    <w:p>
      <w:pPr>
        <w:pStyle w:val="TextBody"/>
        <w:spacing w:before="0" w:after="0"/>
        <w:ind w:left="0" w:right="0" w:hanging="0"/>
        <w:jc w:val="both"/>
        <w:rPr>
          <w:caps w:val="false"/>
          <w:smallCaps w:val="false"/>
        </w:rPr>
      </w:pPr>
      <w:r>
        <w:rPr>
          <w:caps w:val="false"/>
          <w:smallCaps w:val="false"/>
        </w:rPr>
        <w:t> </w:t>
      </w:r>
    </w:p>
    <w:tbl>
      <w:tblPr>
        <w:tblW w:w="5719" w:type="dxa"/>
        <w:jc w:val="left"/>
        <w:tblInd w:w="0" w:type="dxa"/>
        <w:tblCellMar>
          <w:top w:w="0" w:type="dxa"/>
          <w:left w:w="0" w:type="dxa"/>
          <w:bottom w:w="0" w:type="dxa"/>
          <w:right w:w="0" w:type="dxa"/>
        </w:tblCellMar>
      </w:tblPr>
      <w:tblGrid>
        <w:gridCol w:w="75"/>
        <w:gridCol w:w="147"/>
        <w:gridCol w:w="5497"/>
      </w:tblGrid>
      <w:tr>
        <w:trPr/>
        <w:tc>
          <w:tcPr>
            <w:tcW w:w="75" w:type="dxa"/>
            <w:tcBorders/>
            <w:shd w:fill="auto" w:val="clear"/>
            <w:vAlign w:val="center"/>
          </w:tcPr>
          <w:p>
            <w:pPr>
              <w:pStyle w:val="TableContents"/>
              <w:spacing w:before="0" w:after="283"/>
              <w:rPr>
                <w:sz w:val="4"/>
                <w:szCs w:val="4"/>
              </w:rPr>
            </w:pPr>
            <w:r>
              <w:rPr>
                <w:sz w:val="4"/>
                <w:szCs w:val="4"/>
              </w:rPr>
            </w:r>
          </w:p>
        </w:tc>
        <w:tc>
          <w:tcPr>
            <w:tcW w:w="5644" w:type="dxa"/>
            <w:gridSpan w:val="2"/>
            <w:tcBorders/>
            <w:shd w:fill="auto" w:val="clear"/>
            <w:vAlign w:val="center"/>
          </w:tcPr>
          <w:p>
            <w:pPr>
              <w:pStyle w:val="TableContents"/>
              <w:spacing w:before="0" w:after="283"/>
              <w:rPr/>
            </w:pPr>
            <w:r>
              <w:rPr/>
              <w:t>FOREIGN TRADE BANK OF LATIN AMERICA, INC</w:t>
            </w:r>
          </w:p>
        </w:tc>
      </w:tr>
      <w:tr>
        <w:trPr/>
        <w:tc>
          <w:tcPr>
            <w:tcW w:w="75" w:type="dxa"/>
            <w:tcBorders/>
            <w:shd w:fill="auto" w:val="clear"/>
            <w:vAlign w:val="center"/>
          </w:tcPr>
          <w:p>
            <w:pPr>
              <w:pStyle w:val="TableContents"/>
              <w:spacing w:before="0" w:after="283"/>
              <w:rPr/>
            </w:pPr>
            <w:r>
              <w:rPr/>
              <w:t> </w:t>
            </w:r>
          </w:p>
        </w:tc>
        <w:tc>
          <w:tcPr>
            <w:tcW w:w="5644" w:type="dxa"/>
            <w:gridSpan w:val="2"/>
            <w:tcBorders/>
            <w:shd w:fill="auto" w:val="clear"/>
            <w:vAlign w:val="center"/>
          </w:tcPr>
          <w:p>
            <w:pPr>
              <w:pStyle w:val="TableContents"/>
              <w:spacing w:before="0" w:after="283"/>
              <w:rPr>
                <w:i/>
              </w:rPr>
            </w:pPr>
            <w:r>
              <w:rPr>
                <w:i/>
              </w:rPr>
              <w:t>(Registrant)</w:t>
            </w:r>
          </w:p>
        </w:tc>
      </w:tr>
      <w:tr>
        <w:trPr/>
        <w:tc>
          <w:tcPr>
            <w:tcW w:w="75" w:type="dxa"/>
            <w:tcBorders/>
            <w:shd w:fill="auto" w:val="clear"/>
            <w:vAlign w:val="center"/>
          </w:tcPr>
          <w:p>
            <w:pPr>
              <w:pStyle w:val="TableContents"/>
              <w:spacing w:before="0" w:after="283"/>
              <w:jc w:val="both"/>
              <w:rPr/>
            </w:pPr>
            <w:r>
              <w:rPr/>
              <w:t> </w:t>
            </w:r>
          </w:p>
        </w:tc>
        <w:tc>
          <w:tcPr>
            <w:tcW w:w="147" w:type="dxa"/>
            <w:tcBorders/>
            <w:shd w:fill="auto" w:val="clear"/>
            <w:vAlign w:val="center"/>
          </w:tcPr>
          <w:p>
            <w:pPr>
              <w:pStyle w:val="TableContents"/>
              <w:spacing w:before="0" w:after="283"/>
              <w:jc w:val="both"/>
              <w:rPr/>
            </w:pPr>
            <w:r>
              <w:rPr/>
              <w:t> </w:t>
            </w:r>
          </w:p>
        </w:tc>
        <w:tc>
          <w:tcPr>
            <w:tcW w:w="5497" w:type="dxa"/>
            <w:tcBorders/>
            <w:shd w:fill="auto" w:val="clear"/>
            <w:vAlign w:val="center"/>
          </w:tcPr>
          <w:p>
            <w:pPr>
              <w:pStyle w:val="TableContents"/>
              <w:spacing w:before="0" w:after="283"/>
              <w:jc w:val="both"/>
              <w:rPr/>
            </w:pPr>
            <w:r>
              <w:rPr/>
              <w:t> </w:t>
            </w:r>
          </w:p>
        </w:tc>
      </w:tr>
      <w:tr>
        <w:trPr/>
        <w:tc>
          <w:tcPr>
            <w:tcW w:w="75" w:type="dxa"/>
            <w:tcBorders/>
            <w:shd w:fill="auto" w:val="clear"/>
            <w:vAlign w:val="center"/>
          </w:tcPr>
          <w:p>
            <w:pPr>
              <w:pStyle w:val="TableContents"/>
              <w:spacing w:before="0" w:after="283"/>
              <w:jc w:val="both"/>
              <w:rPr/>
            </w:pPr>
            <w:r>
              <w:rPr/>
              <w:t> </w:t>
            </w:r>
          </w:p>
        </w:tc>
        <w:tc>
          <w:tcPr>
            <w:tcW w:w="147" w:type="dxa"/>
            <w:tcBorders/>
            <w:shd w:fill="auto" w:val="clear"/>
            <w:vAlign w:val="center"/>
          </w:tcPr>
          <w:p>
            <w:pPr>
              <w:pStyle w:val="TableContents"/>
              <w:spacing w:before="0" w:after="283"/>
              <w:jc w:val="both"/>
              <w:rPr/>
            </w:pPr>
            <w:r>
              <w:rPr/>
              <w:t> </w:t>
            </w:r>
          </w:p>
        </w:tc>
        <w:tc>
          <w:tcPr>
            <w:tcW w:w="5497" w:type="dxa"/>
            <w:tcBorders/>
            <w:shd w:fill="auto" w:val="clear"/>
            <w:vAlign w:val="center"/>
          </w:tcPr>
          <w:p>
            <w:pPr>
              <w:pStyle w:val="TableContents"/>
              <w:spacing w:before="0" w:after="283"/>
              <w:jc w:val="both"/>
              <w:rPr/>
            </w:pPr>
            <w:r>
              <w:rPr/>
              <w:t> </w:t>
            </w:r>
          </w:p>
        </w:tc>
      </w:tr>
      <w:tr>
        <w:trPr/>
        <w:tc>
          <w:tcPr>
            <w:tcW w:w="75" w:type="dxa"/>
            <w:tcBorders/>
            <w:shd w:fill="auto" w:val="clear"/>
            <w:vAlign w:val="center"/>
          </w:tcPr>
          <w:p>
            <w:pPr>
              <w:pStyle w:val="TableContents"/>
              <w:spacing w:before="0" w:after="283"/>
              <w:jc w:val="both"/>
              <w:rPr/>
            </w:pPr>
            <w:r>
              <w:rPr/>
              <w:t> </w:t>
            </w:r>
          </w:p>
        </w:tc>
        <w:tc>
          <w:tcPr>
            <w:tcW w:w="147" w:type="dxa"/>
            <w:tcBorders/>
            <w:shd w:fill="auto" w:val="clear"/>
            <w:vAlign w:val="center"/>
          </w:tcPr>
          <w:p>
            <w:pPr>
              <w:pStyle w:val="TableContents"/>
              <w:spacing w:before="0" w:after="283"/>
              <w:jc w:val="both"/>
              <w:rPr/>
            </w:pPr>
            <w:r>
              <w:rPr/>
              <w:t> </w:t>
            </w:r>
          </w:p>
        </w:tc>
        <w:tc>
          <w:tcPr>
            <w:tcW w:w="5497" w:type="dxa"/>
            <w:tcBorders/>
            <w:shd w:fill="auto" w:val="clear"/>
            <w:vAlign w:val="center"/>
          </w:tcPr>
          <w:p>
            <w:pPr>
              <w:pStyle w:val="TableContents"/>
              <w:spacing w:before="0" w:after="283"/>
              <w:jc w:val="both"/>
              <w:rPr>
                <w:sz w:val="17"/>
              </w:rPr>
            </w:pPr>
            <w:r>
              <w:rPr>
                <w:sz w:val="17"/>
              </w:rPr>
              <w:t xml:space="preserve">By: </w:t>
            </w:r>
            <w:r>
              <w:rPr>
                <w:sz w:val="17"/>
                <w:u w:val="single"/>
              </w:rPr>
              <w:t>/s/ Ana Graciela de Méndez</w:t>
            </w:r>
          </w:p>
        </w:tc>
      </w:tr>
      <w:tr>
        <w:trPr/>
        <w:tc>
          <w:tcPr>
            <w:tcW w:w="75" w:type="dxa"/>
            <w:tcBorders/>
            <w:shd w:fill="auto" w:val="clear"/>
            <w:vAlign w:val="center"/>
          </w:tcPr>
          <w:p>
            <w:pPr>
              <w:pStyle w:val="TableContents"/>
              <w:spacing w:before="0" w:after="283"/>
              <w:jc w:val="both"/>
              <w:rPr/>
            </w:pPr>
            <w:r>
              <w:rPr/>
              <w:t> </w:t>
            </w:r>
          </w:p>
        </w:tc>
        <w:tc>
          <w:tcPr>
            <w:tcW w:w="147" w:type="dxa"/>
            <w:tcBorders/>
            <w:shd w:fill="auto" w:val="clear"/>
            <w:vAlign w:val="center"/>
          </w:tcPr>
          <w:p>
            <w:pPr>
              <w:pStyle w:val="TableContents"/>
              <w:spacing w:before="0" w:after="283"/>
              <w:jc w:val="both"/>
              <w:rPr/>
            </w:pPr>
            <w:r>
              <w:rPr/>
              <w:t> </w:t>
            </w:r>
          </w:p>
        </w:tc>
        <w:tc>
          <w:tcPr>
            <w:tcW w:w="5497" w:type="dxa"/>
            <w:tcBorders/>
            <w:shd w:fill="auto" w:val="clear"/>
            <w:vAlign w:val="center"/>
          </w:tcPr>
          <w:p>
            <w:pPr>
              <w:pStyle w:val="TableContents"/>
              <w:spacing w:before="0" w:after="283"/>
              <w:jc w:val="both"/>
              <w:rPr/>
            </w:pPr>
            <w:r>
              <w:rPr/>
              <w:t> </w:t>
            </w:r>
          </w:p>
        </w:tc>
      </w:tr>
      <w:tr>
        <w:trPr/>
        <w:tc>
          <w:tcPr>
            <w:tcW w:w="75" w:type="dxa"/>
            <w:tcBorders/>
            <w:shd w:fill="auto" w:val="clear"/>
            <w:vAlign w:val="center"/>
          </w:tcPr>
          <w:p>
            <w:pPr>
              <w:pStyle w:val="TableContents"/>
              <w:spacing w:before="0" w:after="283"/>
              <w:jc w:val="both"/>
              <w:rPr/>
            </w:pPr>
            <w:r>
              <w:rPr/>
              <w:t> </w:t>
            </w:r>
          </w:p>
        </w:tc>
        <w:tc>
          <w:tcPr>
            <w:tcW w:w="147" w:type="dxa"/>
            <w:tcBorders/>
            <w:shd w:fill="auto" w:val="clear"/>
            <w:vAlign w:val="center"/>
          </w:tcPr>
          <w:p>
            <w:pPr>
              <w:pStyle w:val="TableContents"/>
              <w:spacing w:before="0" w:after="283"/>
              <w:jc w:val="both"/>
              <w:rPr/>
            </w:pPr>
            <w:r>
              <w:rPr/>
              <w:t> </w:t>
            </w:r>
          </w:p>
        </w:tc>
        <w:tc>
          <w:tcPr>
            <w:tcW w:w="5497" w:type="dxa"/>
            <w:tcBorders/>
            <w:shd w:fill="auto" w:val="clear"/>
            <w:vAlign w:val="center"/>
          </w:tcPr>
          <w:p>
            <w:pPr>
              <w:pStyle w:val="TableContents"/>
              <w:spacing w:before="0" w:after="283"/>
              <w:jc w:val="both"/>
              <w:rPr>
                <w:sz w:val="17"/>
              </w:rPr>
            </w:pPr>
            <w:r>
              <w:rPr>
                <w:sz w:val="17"/>
              </w:rPr>
              <w:t>Name: Ana Graciela de Méndez</w:t>
            </w:r>
          </w:p>
        </w:tc>
      </w:tr>
      <w:tr>
        <w:trPr/>
        <w:tc>
          <w:tcPr>
            <w:tcW w:w="75" w:type="dxa"/>
            <w:tcBorders/>
            <w:shd w:fill="auto" w:val="clear"/>
            <w:vAlign w:val="center"/>
          </w:tcPr>
          <w:p>
            <w:pPr>
              <w:pStyle w:val="TableContents"/>
              <w:spacing w:before="0" w:after="283"/>
              <w:jc w:val="both"/>
              <w:rPr/>
            </w:pPr>
            <w:r>
              <w:rPr/>
              <w:t> </w:t>
            </w:r>
          </w:p>
        </w:tc>
        <w:tc>
          <w:tcPr>
            <w:tcW w:w="147" w:type="dxa"/>
            <w:tcBorders/>
            <w:shd w:fill="auto" w:val="clear"/>
            <w:vAlign w:val="center"/>
          </w:tcPr>
          <w:p>
            <w:pPr>
              <w:pStyle w:val="TableContents"/>
              <w:spacing w:before="0" w:after="283"/>
              <w:jc w:val="both"/>
              <w:rPr/>
            </w:pPr>
            <w:r>
              <w:rPr/>
              <w:t> </w:t>
            </w:r>
          </w:p>
        </w:tc>
        <w:tc>
          <w:tcPr>
            <w:tcW w:w="5497" w:type="dxa"/>
            <w:tcBorders/>
            <w:shd w:fill="auto" w:val="clear"/>
            <w:vAlign w:val="center"/>
          </w:tcPr>
          <w:p>
            <w:pPr>
              <w:pStyle w:val="TableContents"/>
              <w:spacing w:before="0" w:after="283"/>
              <w:jc w:val="both"/>
              <w:rPr>
                <w:sz w:val="17"/>
              </w:rPr>
            </w:pPr>
            <w:r>
              <w:rPr>
                <w:sz w:val="17"/>
              </w:rPr>
              <w:t>Title:   CFO</w:t>
            </w:r>
          </w:p>
        </w:tc>
      </w:tr>
    </w:tbl>
    <w:p>
      <w:pPr>
        <w:pStyle w:val="TextBody"/>
        <w:ind w:left="0" w:right="0" w:hanging="0"/>
        <w:rPr/>
      </w:pPr>
      <w:r>
        <w:rPr/>
        <w:t> </w:t>
      </w:r>
    </w:p>
    <w:p>
      <w:pPr>
        <w:pStyle w:val="TextBody"/>
        <w:spacing w:before="0" w:after="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IMMEDIATE RELEASE</w:t>
      </w:r>
    </w:p>
    <w:p>
      <w:pPr>
        <w:pStyle w:val="TextBody"/>
        <w:spacing w:before="0" w:after="0"/>
        <w:jc w:val="center"/>
        <w:rPr>
          <w:caps w:val="false"/>
          <w:smallCaps w:val="false"/>
        </w:rPr>
      </w:pPr>
      <w:r>
        <w:rPr>
          <w:caps w:val="false"/>
          <w:smallCaps w:val="false"/>
        </w:rPr>
        <w:drawing>
          <wp:inline distT="0" distB="0" distL="0" distR="0">
            <wp:extent cx="1494155" cy="6400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94155" cy="640080"/>
                    </a:xfrm>
                    <a:prstGeom prst="rect">
                      <a:avLst/>
                    </a:prstGeom>
                  </pic:spPr>
                </pic:pic>
              </a:graphicData>
            </a:graphic>
          </wp:inline>
        </w:drawing>
      </w:r>
      <w:r>
        <w:rPr>
          <w:caps w:val="false"/>
          <w:smallCaps w:val="false"/>
        </w:rPr>
        <w:t> </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Bladex acts as Joint Lead Arranger of a $75 million, Senior Unsecured 3-year Term Loan for YPF Energía Eléctrica S.A.</w:t>
      </w:r>
    </w:p>
    <w:p>
      <w:pPr>
        <w:pStyle w:val="TextBody"/>
        <w:spacing w:before="0" w:after="0"/>
        <w:ind w:left="0" w:right="0" w:hanging="0"/>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 xml:space="preserve">Panama City, Republic of Panamá, December 26, 2018 </w:t>
      </w:r>
      <w:r>
        <w:rPr>
          <w:rFonts w:ascii="Times New Roman;Times;Serif" w:hAnsi="Times New Roman;Times;Serif"/>
          <w:b w:val="false"/>
          <w:i w:val="false"/>
          <w:caps w:val="false"/>
          <w:smallCaps w:val="false"/>
          <w:sz w:val="20"/>
        </w:rPr>
        <w:t>– Banco Latinoamericano de Comercio Exterior, S.A. (“Bladex” or the “Bank”) announced today the recent closing of a US$75 million, senior unsecured, amortizing 3-year term loan facility (the “Facility” or the “Loan”) in favor of YPF Energía Eléctrica S.A. (“YPF EE” or the “Company”).</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YPF EE is the fifth largest private electricity generator in the Argentina through its thermal energy plants and wind farms. The Company is owned by YPF S.A. (rated B+/ B2/ B), Argentina’s largest integrated energy company with a leading position in the oil and gas sector and by General Electric Corporation Inc (rated BBB+/ Baa1/ BBB+).</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Loan was structured as a club deal between Bladex and Industrial and Commercial Bank of China (Argentina), S.A. which together acted as Joint Lead Arrangers. Bladex is also the Administrative Agent under the Facility.</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proceeds of the Facility will be used to finance the Company’s capital expenditures for energy generation projects, in addition to general corporate purposes.</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For further information on Bladex, please access its website at </w:t>
      </w:r>
      <w:r>
        <w:rPr>
          <w:rFonts w:ascii="Times New Roman;Times;Serif" w:hAnsi="Times New Roman;Times;Serif"/>
          <w:b w:val="false"/>
          <w:i w:val="false"/>
          <w:caps w:val="false"/>
          <w:smallCaps w:val="false"/>
          <w:color w:val="0000FF"/>
          <w:sz w:val="20"/>
          <w:u w:val="single"/>
        </w:rPr>
        <w:t>www.bladex.com</w:t>
      </w:r>
      <w:r>
        <w:rPr>
          <w:rFonts w:ascii="Times New Roman;Times;Serif" w:hAnsi="Times New Roman;Times;Serif"/>
          <w:b w:val="false"/>
          <w:i w:val="false"/>
          <w:caps w:val="false"/>
          <w:smallCaps w:val="false"/>
          <w:sz w:val="20"/>
        </w:rPr>
        <w:t xml:space="preserve"> or contact:</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Mónica Cosulich – VP, Finance and Investor Relations</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E-mail address: ir@bladex.com Tel.: (+507) 210-8563</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Head Office Address: Torre V, Business Park, Avenida La Rotonda, Urb. Costa del Este,</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Panama, Republic of Panama</w:t>
      </w:r>
    </w:p>
    <w:p>
      <w:pPr>
        <w:pStyle w:val="TextBody"/>
        <w:spacing w:before="0" w:after="0"/>
        <w:ind w:left="0" w:right="0" w:hanging="0"/>
        <w:jc w:val="both"/>
        <w:rPr>
          <w:caps w:val="false"/>
          <w:smallCaps w:val="false"/>
          <w:color w:val="30417E"/>
        </w:rPr>
      </w:pPr>
      <w:r>
        <w:rPr>
          <w:caps w:val="false"/>
          <w:smallCaps w:val="false"/>
          <w:color w:val="30417E"/>
        </w:rPr>
        <w:t> </w:t>
      </w:r>
    </w:p>
    <w:p>
      <w:pPr>
        <w:pStyle w:val="TextBody"/>
        <w:rPr/>
      </w:pPr>
      <w:r>
        <w:rPr/>
        <w:t> </w:t>
      </w:r>
    </w:p>
    <w:p>
      <w:pPr>
        <w:pStyle w:val="TextBody"/>
        <w:spacing w:before="0" w:after="0"/>
        <w:ind w:left="0" w:right="0" w:hanging="0"/>
        <w:rPr>
          <w:bdr w:val="single" w:sz="8" w:space="1" w:color="000000"/>
        </w:rPr>
      </w:pPr>
      <w:r>
        <w:rPr>
          <w:bdr w:val="single" w:sz="8" w:space="1" w:color="000000"/>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1</Pages>
  <Words>567</Words>
  <CharactersWithSpaces>3688</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